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l'acide borique par injection sur l'histologie du tube digestif et les enzymes de détoxification (acétylcholinéstérase, glutathions-transférase, et le glutathion) chez un insecte à intérêt médical : blatella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Boussatha; Anissa/ Habes, Dahbia/ Universite BADJI /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b.germanica/ acide borique/ structure de l'intestin/ injection/ biomarqueurs/ </w:t>
            </w:r>
          </w:p>
        </w:tc>
      </w:tr>
    </w:tbl>
    <w:p>
      <w:pPr>
        <w:pStyle w:val="Heading3"/>
      </w:pPr>
      <w:r>
        <w:t>Résumé :</w:t>
      </w:r>
    </w:p>
    <w:p>
      <w:r>
        <w:t>Les blattes sont des agents pathogènes et sont également responsables d'une détérioration des conditions d'hygiènes. en algérie, blattella germanica espèce la plus répandue, est un insecte nuisible pour l'environnement urbain et la santé humaine. plusieurs insecticides conventionnels ont été utilisés pour contrôler leurs infestations. cependant, leur utilisation a développé au sein des populations des blattes une résistance. l'acide borique composé inorganique, peu nocif pour l'environnement, a été utilisé dans le contrôle des blattes depuis plusieurs années mais son mode d'action reste inconnu. cette étude comporte : une étude biochimique a été effectuée pour permettre d'évaluer l'effet de cet acide sur le taux du glutathion et les différents biomarqueurs (acétylcholinestérase et la glutathions-transférase)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