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spatio temporelle de la tavelure du pommier (venturia ineaqualis) dans la region d'et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Benaliouche; Fouzia/ Sbartai, Hana/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composition chimique/ activité antifongique/ activité antioxydante/ venturia ineaqualis L/ he de thymus vulgaris/ modèle de distribution spatiale de la maladie/ </w:t>
            </w:r>
          </w:p>
        </w:tc>
      </w:tr>
    </w:tbl>
    <w:p>
      <w:pPr>
        <w:pStyle w:val="Heading3"/>
      </w:pPr>
      <w:r>
        <w:t>Résumé :</w:t>
      </w:r>
    </w:p>
    <w:p>
      <w:r>
        <w:t>Cette étude vise à réaliser d'une part une analyse de la structure spatiale de la maladie en conditions naturelles afin d'établir un patron de distribution spatiale des lésions causées par venturiainaequalisen verger et d'évaluer, d'autre part, l'activité antifongique de l'huile essentielle de " thymus vulgaris " sur la croissance de l'agent pathogène de la tavelure du pommier. l'analyse de la structure spatiale de la maladie a permis de mettre en évidence une structure agrégée indiquant la dispersion de la maladie à petite échelle (parcelle d'étude) des différents arbres. cette structure laisse à penser que la dispersion de la tavelure au sein d'une telle parcelle serait limitée entre les différents agrégats du pommier d'où la nécessité de développer des stratégies de lutte comme la conception des systèmes raisonnés qui diminue la pression des bio-gresseurs. de plus, la haute résolution spatiale augmente son potentiel de détection précoce des petites taches des maladies des plantes.parallèlement, l'analyse chimique de cette he a montré la présence de 30 composés qui représentent environ 99,07% du composant global qui est formé principalement par le linalol (36,41%). d'autres constituants sont modérément [para-cymène (6,6%) ; ?-terpinène (6,11%)] et faiblement identifiés [carvacrol (0,75%)] avec le thymol complètement absent. l'évaluation de l'activité antifongique de l'he de thym sur la croissance du mycélium de venturia ineaqualis, a été marquée par une diminution du nombre de filaments de la colonie fongique en fonction de doses croissantes où la concentration minimale inhibitrice est de 300µl/ml et la concentration minimale fongique est de 600µl/ml pour lesquelles aucune croissance n'est détectée. malgré l'absence de thymol et la teneur assez faible en carvacrol, connus pour leur forte toxicité, les he de thym de la région de seraidi ont été très efficaces et ont révélé une activité très puissante contre v.ineaqualis qui est probablement due à la présence de taux élevés de des monoterpènes (36,96%) et des monoterpènes oxygénés (55,51%) associés à d'autres composants qui agissent en synergie même à faible dose.en plus, cette même he a révélé un fort pouvoir antioxydant qui est due probablement aux composés phénoliques.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