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propriétés structurales, électroniques et élastiques de Be2B et ses composés ternaires: XBeB(X=Na, Mg et Al)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Kadri; Med Tahar     / Université Badji Mokhtar/ Belkhir, M. Hafid/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propriétés structurales/ ab-initio/ auto-cohérente/ </w:t>
            </w:r>
          </w:p>
        </w:tc>
      </w:tr>
    </w:tbl>
    <w:p>
      <w:pPr>
        <w:pStyle w:val="Heading3"/>
      </w:pPr>
      <w:r>
        <w:t>Résumé :</w:t>
      </w:r>
    </w:p>
    <w:p>
      <w:r>
        <w:t>Dans le cadre de la théorie de la fonctionnelle de la densité (DFT), nous avons effectué des calcules ab-initio avec la méthode FP-LAPW (code Wien2k) pour calculer les propriétés structurales, électroniques et  élastique de Be2B et ses composés ternaires XBeB (X=Al, Mg, et Na). La méthode FP-LAPW  est  destinée à résoudre d'une façon auto-cohérente les équations de kohn et Sham dans deux régions de la maille élémentaire, lesles sphères atomiques et les régions interstitielles. L'étude a été réalisée pour ces composés dans la structure cristalline stable fluorine. Nous avons utilisés pour la détermination du potentiel d'échange et de corrélation l'approximation de la densité locale LDA et l'approximation de gradient généralisé GGA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