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l’effet du cyclage thermique sur les propriétés thermomécaniques d’un alliage à mémoire de forme, cas de  l’alliage ternaire CuZnAl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Kebbache; Ismahane/ Belkahla, Soliman/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thérmomécanique/ l’influence du cyclage/ effet pseudoélastique/ </w:t>
            </w:r>
          </w:p>
        </w:tc>
      </w:tr>
    </w:tbl>
    <w:p>
      <w:pPr>
        <w:pStyle w:val="Heading3"/>
      </w:pPr>
      <w:r>
        <w:t>Résumé :</w:t>
      </w:r>
    </w:p>
    <w:p>
      <w:r>
        <w:t>Les alliages à mémoire de forme (AMF) présentent une transformation martensitique</w:t>
        <w:br/>
        <w:br/>
        <w:t>thermoélastique, qui est à l’origine de l’effet mémoire de forme ainsi que d’autres propriétés</w:t>
        <w:br/>
        <w:br/>
        <w:t>remarquables telle que l’effet superélastique. La superélasticité est un comportement élastique</w:t>
        <w:br/>
        <w:br/>
        <w:t>non linéaire dans le domaine haute température, où le matériau récupère sa forme initiale</w:t>
        <w:br/>
        <w:br/>
        <w:t>après le retrait de la contrainte appliquée.</w:t>
        <w:br/>
        <w:br/>
        <w:t>Dans notre travail, nous avons étudié l’influence du cyclage thermomécanique d’un</w:t>
        <w:br/>
        <w:br/>
        <w:t>alliage à mémoire de forme CuZnAl à l’aide d’un dispositif de flexion à quatre points</w:t>
        <w:br/>
        <w:br/>
        <w:t>spécifique aux AMF. Une partie de nos échantillons a été testée en effet superélastique et la</w:t>
        <w:br/>
        <w:br/>
        <w:t>seconde partie en effet pseudoélastique. Préalablement, des mesures de résistivité électrique</w:t>
        <w:br/>
        <w:br/>
        <w:t>ont été réalisées, afin de déterminer les points caractéristiques de la transformation directe et</w:t>
        <w:br/>
        <w:br/>
        <w:t>inverse. Des cycles contrainte–déformation ont été effectués, en déformation imposée et à</w:t>
        <w:br/>
        <w:br/>
        <w:t>différentes températures, soit en superélasticité, soit en pseudoélasticité. Nous avons</w:t>
        <w:br/>
        <w:br/>
        <w:t>également suivi l’évolution de la contrainte d’une part en fonction de la variation de la</w:t>
        <w:br/>
        <w:br/>
        <w:t>température et d’autre part en fonction du nombre de cycles thermiques ou thermomécaniques</w:t>
        <w:br/>
        <w:br/>
        <w:t>pour un état initial prédéformé. L’influence du taux de déformation sur la contrainte</w:t>
        <w:br/>
        <w:br/>
        <w:t>maximale a été également mise en valeur.</w:t>
        <w:br/>
        <w:br/>
        <w:t>Pour une déformation maximale imposée, l’ensemble des résultats obtenus montre que</w:t>
        <w:br/>
        <w:br/>
        <w:t>la contrainte maximale augmente avec l’augmentation de la température d’essai ainsi qu’avec</w:t>
        <w:br/>
        <w:br/>
        <w:t>le nombre de cycles mécaniques N. Les résultats obtenus nous ont permis également de</w:t>
        <w:br/>
        <w:br/>
        <w:t>vérifier la loi de Clausius–Clapeyron. Par ailleurs, pour un état prédéformé, nous avons pu</w:t>
        <w:br/>
        <w:br/>
        <w:t>mettre en relief que la contrainte maximale lors du chauffage, augmente avec le taux de</w:t>
        <w:br/>
        <w:br/>
        <w:t xml:space="preserve">déformation imposée et décroît avec le nombre de cycles thermiques 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