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l'ecologie et de la regeneration du chene liege dans la numidie orientale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Bennadja; Salima/ Belair, Gérard/ Université Badji Mokhtar/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écologie/ chêne liège/ </w:t>
            </w:r>
          </w:p>
        </w:tc>
      </w:tr>
    </w:tbl>
    <w:p>
      <w:pPr>
        <w:pStyle w:val="Heading3"/>
      </w:pPr>
      <w:r>
        <w:t>Résumé :</w:t>
      </w:r>
    </w:p>
    <w:p>
      <w:r>
        <w:t xml:space="preserve">Cette étude repose sur un échantillonnage stratifié sur la base de la nature jithologique du substrat classification de joleaud. une analyse de co inertie qui représente une co structure entre deux acp flore et descripteurs confirme le rôle déterminant du facteur hydrique dans la répartition du chêne liège notamment, et de la végétation de la numidie orientale, d'une façon générale. une analyse de l'omi outlying mean index ou la marginalité des espèces a permis de révéler le déterminisme hygro édaphique qui caractérise les niches écologiques de la végétation de la numidie orientale. sous l'effet de la forte action anthropique notamment les incendies et île surpâturage et de la saison sèche spécifique au climat méditerranéen, la régénération naturelle du chêne liège est très compromise, c'est pourquoi il faudrait assister cette essence en procédant par semis artificiel. </w:t>
        <w:br/>
        <w:br/>
        <w:t xml:space="preserve">a long terme, le semis constitue le mode de régénération le plus adéquat car il génère une variabilité génétique nécessaire au maintien de cette espèce.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