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ecologique et cartographique de la vegetation du massif de la mahouna guelma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Beldjazia; Amina/ Université Badji Mokhtar/ Toubal, O/ </w:t>
            </w:r>
          </w:p>
        </w:tc>
      </w:tr>
      <w:tr>
        <w:trPr>
          <w:trHeight w:val="567"/>
        </w:trPr>
        <w:tc>
          <w:tcPr>
            <w:tcW w:type="dxa" w:w="3000"/>
          </w:tcPr>
          <w:p>
            <w:r>
              <w:t>Nombre de Pages</w:t>
            </w:r>
          </w:p>
        </w:tc>
        <w:tc>
          <w:tcPr>
            <w:tcW w:type="dxa" w:w="7000"/>
          </w:tcPr>
          <w:p>
            <w:r>
              <w:t>96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écologie/ cartographie/ télédétection/ mahouna/ groupements végétaux/ diversité floristique/ dynamisme/ </w:t>
            </w:r>
          </w:p>
        </w:tc>
      </w:tr>
    </w:tbl>
    <w:p>
      <w:pPr>
        <w:pStyle w:val="Heading3"/>
      </w:pPr>
      <w:r>
        <w:t>Résumé :</w:t>
      </w:r>
    </w:p>
    <w:p>
      <w:r>
        <w:t xml:space="preserve">L'étude botanique a révélé une richesse floristique remarquable de 70 espèces environ  l'étude bioclimatique situe le massif forestier de la mahouna entre les bioclimats semi aride tempéré et humide froid. les étages de végétation déterminés sont, le thermoméditerranéen domaine de l'oléo lentisque et du chêne kermès quercus coccifera , le mésoméditerranéen où on trouve la subéraie quercus suber et la formation mixte chene liège et chêne zéen et l'étage supraméditerranéen domaine de la chênaie caducifoliée à chêne zéen  quercus canariensus. l'étude dynamique a montré que la mahouna est une zone fortement influencée par l'intensité et la fréquence des facteurs de la dégradation incendie, défrichement, surpâturage. la carte de végétation faite à partir des techniques modernes de télédétection logiciel appliqués sur les images satellitaires et les photos aériennes représente la répartition de la végétation réelle actuelle sur le terrain en fonction de leurs affinités écologiques et consécutive aux feux de dégradation à une échelle de. compte tenu de son intérêt écologique et floristique, cette zone constitue un patrimoine forestier qu'il est urgent de le protéger pour sa conservation et vputilisation durable de sa diversité biologique.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