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Toxicite comparee du malathion et du cadmium a l'egard de donax trunculus mollusca, bivalvia et mesures de biomarqueurs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Braia; Fatma / Soltani, N/ Université Badji Mokhtar/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cadmium/ croissance/ toxicité/ acétylcholinestérase/ donax trunculus/ malathion/ glutathion/ </w:t>
            </w:r>
          </w:p>
        </w:tc>
      </w:tr>
    </w:tbl>
    <w:p>
      <w:pPr>
        <w:pStyle w:val="Heading3"/>
      </w:pPr>
      <w:r>
        <w:t>Résumé :</w:t>
      </w:r>
    </w:p>
    <w:p>
      <w:r>
        <w:t xml:space="preserve">Cette étude s'intègre dans un programme de biosurveillance du golfe d'annaba par l'utilisation de donax trunculus espèce comestible et bioindicatrice de la pollution. </w:t>
        <w:br/>
        <w:br/>
        <w:t xml:space="preserve">on a évalué dans un premier temps en conditions de laboratoire l'impact du malathion et du cadmium sur la toxicité et les biomarqueurs. la toxicité du malathion et du cadmium à différentes concentrations, entraine une mortalité de l'espèce étudiée avec une relation concentration réponse. aussi les différents dosages effectués montrent que l'insecticide a un effet plus marqué que le métal lourd. </w:t>
        <w:br/>
        <w:br/>
        <w:t xml:space="preserve">ensuite nous avons évalué l'impact de la pollution sur les paramètres physico chimiques de l'eau de mer, la croissance de cette espèce, mais aussi sur certains biomarqueurs, le glutathion la glutathion transférase et l'acétylcholinestérase de septembre 2007 à août 2008 au niveau de deux sites el battah loin des sources de pollution et sidi salem site pollué par les déchets agricoles, urbains, industriels et portuaires. l'étude des paramètres physico chimiques révèle des fluctuations temporelles liées aux variations saisonnières et environnementales dans les deux sites. l'analyse biométrique a permis de révéler deux recrutements pendant la période d'étude, une longueur maximale de une différence dans la croissance mensuelle entre les deux sites. on a observé également une variation mensuelle des biomarqueurs mesurés avec un effet site, un effet mois et une interaction site/mois hautement significative. les différences entre sites seraient en rapport avec leur niveau de pollution.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