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symbioses racinaires chez les principales essences forestieres spontanees ou introduites dans le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Beddiar; Arifa/ Semadi, Amar/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actinomycètes/ atmosphérique/ </w:t>
            </w:r>
          </w:p>
        </w:tc>
      </w:tr>
    </w:tbl>
    <w:p>
      <w:pPr>
        <w:pStyle w:val="Heading3"/>
      </w:pPr>
      <w:r>
        <w:t>Résumé :</w:t>
      </w:r>
    </w:p>
    <w:p>
      <w:r>
        <w:t xml:space="preserve">Dans ce présent travail, nous nous sommes proposés d'établir le statut mycorhizien </w:t>
        <w:br/>
        <w:br/>
        <w:t xml:space="preserve">naturel des principales essences forestières du nord est algérien, à savoir  le cheneliège, le chene zeen et le pin maritime. les régions d'étude étant les régions de séraïdi , d'ei kala et de souk-ahras. une cinquantaine de morphotypes ectomycorhiziens ont été décrits pour ces  espèces. pour chacune d'entre elles, le nombre de morphotype a varié d'une région à l'autre. l'observation saisonnière de ces morphotypes ectomycorhiziens a montré une certaine dynamique de passociation. en effet, le nombre ainsi que l'abondance de ces morphotypes ont été importants au printemps et en automne et ont diminué en été et en hiver. </w:t>
        <w:br/>
        <w:br/>
        <w:t xml:space="preserve">les essences secondaires, qu'elles scient spontanées châtaignier, merisier, laurier, peuplier ou introduites noyer, noisetier, eucalyptus ont présenté également un statut mycorhizien naturel très important. il est à noter que chez toutes ces espèces, les mycorhizes de cenococcum geophylum étaient très majoritaires dans toutes les stations. l'inventaire fongique réalisé dans les stations de séraidi et d'el kala nous permet de dire que les subéraies et les zeenaies de nos régions sont très riches en champignons à carpophores lesquels sont en majorité mycorhizogènes. ils constituent par conséquent une perspective de recherche en vue de sélection de souches et de production d'inoculum. le statut symbiotique des espèces de sous bois est également important. la plupart de ces dernières sont surtout infectées par des champignons endomycorhiziens. en ce qui concerne les espèces forestières élevées en pépinière, elles comportent soit des endomycorhizes am, soit des ectomycorhizes, soit les deus à la fois. parmi les espèces forestières étudiées, nus glurinosa et casuarina equisetifolia ont fait l'objet d'une préoccupation particulière. en effet, ce sont non seulement des espèces mycorhiziennes mais aussi des arbres fixateurs d'azote atmosphérique par l'intermédiaire de leurs symbioses avec des actinomycètes du genre frunkia. l'établissement de leur statut symbiotique a révélé l'existence d'une symbiose tétrapartite chez l'auine glutineux qui fait de lui un arbre précieux dans les écosystèmes humides de la région d'flkala. son système racinaire est colonisé à la fois par des champignons endo et ectomycorhiziens et par frankia. huit morphotypes ectomycorhiziens ont été décrits. ils appartiennent notamment aux genres /.acrarius, laccaria et paxillus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