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L'effet stark des états de configurations 4s 4d et 4s 6d de l'atome de zinc.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Lablab; Abdelhamid/ Université Badji Mokhtar/ Mayoufi,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l'extention de la méthode/ calculs entrepris/ </w:t>
            </w:r>
          </w:p>
        </w:tc>
      </w:tr>
    </w:tbl>
    <w:p>
      <w:pPr>
        <w:pStyle w:val="Heading3"/>
      </w:pPr>
      <w:r>
        <w:t>Résumé :</w:t>
      </w:r>
    </w:p>
    <w:p>
      <w:r>
        <w:t>Le problème posé dans le cadre de ce travail repose essentiellement sur le développement analytique d'une méthode de calcul élaborée par A. KHADJAVI et appliquée à un certain nombre d'états de configurations d'atomes relatifs aux éléments suivants (Cs, Rb, Cd et Hg).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