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de la mycoflore transmissible par les semences de tomate produites dans la plaine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Ouahiba/ Université Badji Mokhtar/ Daoudi, M /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mycoflore/ tomate/ </w:t>
            </w:r>
          </w:p>
        </w:tc>
      </w:tr>
    </w:tbl>
    <w:p>
      <w:pPr>
        <w:pStyle w:val="Heading3"/>
      </w:pPr>
      <w:r>
        <w:t>Résumé :</w:t>
      </w:r>
    </w:p>
    <w:p>
      <w:r>
        <w:t xml:space="preserve">L'examen des résult:ts obtenus nous indique que dans certains malgré que le pourcentage de contemination par les deux types de mycoflore ect relativement faible, la faculté gerninative des semences est considérablement atteinte, ceci nous permet de dire que le pourcentage de germination n'est pas reduit seulement sous effet des agents pathogénes et saprophytes, mais il peut être aussi influencé par un certain nombre d'autres facteurs auxquels, les semences sont soumises, telles que les conditions de végétation, de naturation, de récolte et de stockage la présence de certains agents pathogénes rédontables ne doit pas passer inaperçue, c'est le cas de fusariun ox7snorum qui a été le plus fréquemment isolé sur les semences de tomate analysées. les dégats provoqués par ce pathogéne aussi bien lors des tests de laboratoire que durant les essais de levé font de jui, un agent d'une grande importance économique.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