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physico chimique et palynologique des sédiments des sites archéologiques du nord est algérien cas  d'hippone madors et khemissa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 Karima / Benslama, M/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chimique/ caractérisation physico / palynologique/ </w:t>
            </w:r>
          </w:p>
        </w:tc>
      </w:tr>
    </w:tbl>
    <w:p>
      <w:pPr>
        <w:pStyle w:val="Heading3"/>
      </w:pPr>
      <w:r>
        <w:t>Résumé :</w:t>
      </w:r>
    </w:p>
    <w:p>
      <w:r>
        <w:t xml:space="preserve">Notre travail a porté aur l'accumulation spatio temporelle du mercure aux alentours du complexe mercuriel de azzaba pur don échantillons folinires d'espèces, phanérogamiquos in situ casuarina equisat folla, cupressus sempervirens, olga aurapeu, triticum durum et pur des transplants flchéniques de xanthorlu parletina, les prélévemems ont eu lieu au niveau de quatorze sites dont le plus éloigné se trouve a 70 km à l'est de fa source de pollution, l'analyse de la variance à deux critères relutives à la variation spatio temporelle du mercure chez xanthoria parietina montre que les résultats sont significatifs dans le ternps et non dans l'espace. par contre dans la direction il y 4 une corrélation significative entre l'accumulation en mercure et la distance par rapport à la source, il en est de même pour cupressus sempervirens pour toutes les directions. nous avons également noté des variations dans certains paramètres pour les différentes espèces étudiées taux de chlorophylle, taux de sucres solubles les espèces végétales utilisées comme bioaccumulateurs nous ont permis de limiter les zones de pollution mercurielle : les transplants de lichens nous renscignent sur les zones contaminées s'étendant jusqu'à 3,5 km au ne. du complexe mercuriel et jusqu'à 1 km dans la direction sud. olea europea fixe la limite de la zone polluée et sud de la source cupressus sempervirens, compte tenu de sa pérennité, semble beaucoup plus apte à nous indiquer la pollution mercurielle qui se fait sentir jusqu'à 10 km à l'est de la source et jusqu'à 2,6 km au sud. quant à cusuarina equisetifolia, il nous fixe la limite de la poliutson à 5 km au n.e. du complexe. la différence enregistrée dans la bioindication est liée surtout à la nature de f'espèce, à sa morphologie, aux caractéristiques de son feuillage, au degré de présence absence et aux paramètres topographiques et climatiques.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