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 de la chaux résiduaire sous produit de la fabrication d'acétyléne dans le traitement des 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Ayeche; Riad/ Hamdaoui, Oualid/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des eaux/ valorisation chaux résiduaire/ production d'acétylène/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 travail est de valoriser la chaux résiduaire rejetée par l'usine de fabrication d'acétylène l'entreprise nationale des gaz industriels engi sise a annaba très soucieux de ce probléme la valorisation de ce rebut chimique demeure une opération fastidieuse et complexe devant son importance sa quantité déversée dans la nature et sa nuisibilité a l'environnement ce résidu peut se révéler etre un véritable problème c'est en partant de ce constat très pertinent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