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mécanique de léaorte abdominale atteinte d'anévrysme et traitée par thérapie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Djellouli; Djamel/ Bey, Kamel/ Université Badji Mokhtar/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modèle éléments finis/ anévrysme de l'aorte abdominale/ xénogreffe de rat thérapiecellulaire/ </w:t>
            </w:r>
          </w:p>
        </w:tc>
      </w:tr>
    </w:tbl>
    <w:p>
      <w:pPr>
        <w:pStyle w:val="Heading3"/>
      </w:pPr>
      <w:r>
        <w:t>Résumé :</w:t>
      </w:r>
    </w:p>
    <w:p>
      <w:r>
        <w:t>L'anévrisme de l'aorte abdominale aaa est une dilatation patholigique permanente localisée de la paroi de l'artère et se caractérise par un remodelage tissulaire expansif qui entraine un amincissement de la paroi artérielle selon la loi de laplace la rupture de paroi de l'aaa intervient lorsque la contrainte circonférentielle dépasse la résistance mécanique ultime du tissu thompson et al 1996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