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des polluants organiques en phase aqueuse par des procédés d'oxydation avancés modélisation par des plans d'expér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ah; Salah/ Université Badji Mokhtar/ Med El hadi, S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 azoïque/ fenton électrofenton/ sonoly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industrie du textile consomme 80 /100 de tous les colorants synthétiques appliqués pour teindre 40 millions de tonnes annuellement après la consomm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