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des polluants organiques en phase aqueuse par des procédés d'oxydation avancés modélisation par des plans d'expéri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dah; Salah/ Université Badji Mokhtar/ Med El hadi, S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 azoïque/ fenton électrofenton/ sonoly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industrie du textile consomme 80 /100 de tous les colorants synthétiques appliqués pour teindre 40 millions de tonnes annuellement après la consomm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