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du temps de recuit sur la transformation martensitique de l’alliage à mémoire de forme TiNi équiatomique".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Nemiri; Ouarda/ Belkahla, Soliman/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résistance électrique/ thermomécaniques/ thermoélectrique/ </w:t>
            </w:r>
          </w:p>
        </w:tc>
      </w:tr>
    </w:tbl>
    <w:p>
      <w:pPr>
        <w:pStyle w:val="Heading3"/>
      </w:pPr>
      <w:r>
        <w:t>Résumé :</w:t>
      </w:r>
    </w:p>
    <w:p>
      <w:r>
        <w:t>Notre étude a porté sur l’étude de l’effet du temps de recuit sur la transformation martensitique de l’alliage à mémoire de forme TiNi équiatomique. A cet effet, trois séries de sept échantillons ont été préparées. Ces échantillons ont subis</w:t>
        <w:br/>
        <w:br/>
        <w:t>les traitements thermomécaniques suivants: un traitement d’homogénéisation de 30 min à 850°C, suivi d’un écrouissage de 30% puis d’un recuit à 460, 505 et 530°C pour des temps de maintien variant de 5min à 1440 min.</w:t>
        <w:br/>
        <w:br/>
        <w:t xml:space="preserve"> Les dispositifs qu’on a utilisés pour la caractérisation de nos échantillons sont: la résistance électrique (RE) (méthodes de quatre points), la calorimétrie différentielle à balayage (DSC) et le pouvoir thermoélectrique (PTE).  Des résultats expérimentaux obtenus, nous avons pu déduire que les traitements thermomécaniques appliqués favorisaient l’apparition de la phase prémartensitique (appelée également phase R) qui reste stable quelle que soit la nature des traitements</w:t>
        <w:br/>
        <w:br/>
        <w:t>ultérieurs subis par les échantillons.  Les courbes de la R.E et les thermogrammes de D.S.C nous ont permis de</w:t>
        <w:br/>
        <w:br/>
        <w:t xml:space="preserve">déterminer les caractéristiques de la transformation martensitique telles que: les points de transformation.  L’analyse des résultats nous a permit également de montrer l’effet du temps de recuit sur les caractéristiques de la transformation martensitique thermoélastique.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