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supraconducteurs conventionnel et non conventionnel au moyen des équations de ginzburg_landau dépendants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Nouri; Kaddour/ Université Badji Mokhtar/ Zemour, Kamel/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température critique/ supraconducteurs/ </w:t>
            </w:r>
          </w:p>
        </w:tc>
      </w:tr>
    </w:tbl>
    <w:p>
      <w:pPr>
        <w:pStyle w:val="Heading3"/>
      </w:pPr>
      <w:r>
        <w:t>Résumé :</w:t>
      </w:r>
    </w:p>
    <w:p>
      <w:r>
        <w:t>Le comportement des supraconducteurs conventionnels est bien décrit par la théorie BCS laquelle procède d'une approche variationnelle en champ moyen appliquée aux électrons formant les paires de cooper et produisant un gap dans le spectre des énergies des électrons (célibataires). Les supraconducteurs à haute température critique tels que les cuprates présentent beaucoup de phénomènes ne pouvant être expliqués dans le cadre de la théorie BCR.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