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mecanismes morphophysiologiques  et biochimiques de tolerance au stress hydrique sur 5 varietes de ble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Aitkaki; Yasmina/ Brinis, L/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biochimiques/ mécanismes morphophysiologiques/ </w:t>
            </w:r>
          </w:p>
        </w:tc>
      </w:tr>
    </w:tbl>
    <w:p>
      <w:pPr>
        <w:pStyle w:val="Heading3"/>
      </w:pPr>
      <w:r>
        <w:t>Résumé :</w:t>
      </w:r>
    </w:p>
    <w:p>
      <w:r>
        <w:t xml:space="preserve">Une étude des mécanismes morphophysiologiques et biochimiques d'adaptation au déficit hydrique a été menée sur  génotypes de blé dur triticum durum desf  </w:t>
        <w:br/>
        <w:br/>
        <w:t xml:space="preserve">les mesures physiologiques et biochimiques sont réalisées à des stades précoces du végétal elles ont concerné des dosages de proline  de sucres solubles  chlorophylles la turgescence relative  le taux de déperdition de l'eau la feuille. de même les différents stades phénologiques ont été repérés  dans le but d'étudier les paramètres agronomi tous les paramètres étudiés ont été à la base de nombreuses investigations et,de ce fait, ont pu être utilisés comme indicateurs de tolérance au stress hydrique. a la lumière des résultats obtenus  il en ressort que ces variétés manifestent des mécanismes différents quant à leur stratégie d'adaptation au déficit hydrique.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