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 entre magnétisme et supraconductivité dans quelques matériaux SHTc de type Y 123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Harat; Aicha / Université Badji Mokhtar/ Mosbah, Mohamed Fayçel/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magnétisme/ Supraconductivité/ cuprates de terres rares/ </w:t>
            </w:r>
          </w:p>
        </w:tc>
      </w:tr>
    </w:tbl>
    <w:p>
      <w:pPr>
        <w:pStyle w:val="Heading3"/>
      </w:pPr>
      <w:r>
        <w:t>Résumé :</w:t>
      </w:r>
    </w:p>
    <w:p>
      <w:r>
        <w:t>Le but de ce travail était d'apporter des éléments de réponse dans le débat toujours non clos de la non supraconductivité du matériau PrBa2CuO7 (Pr123), en regard de tous les autres composés de la série des cuprates de terres rares supraconducteurs de type Y123.</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