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Immobilisation de la candida rugosa sur la resine amberjet 4220 CI optimisation de l'enantioselectivité par la methode des surfaces de reponce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Bouchagra; Samah/ Université Badji Mokhtar/  Djeghaba, M.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enantiosélectivité/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décrit l’immobilisation de la lipase de Candida rugosa (CRL) sur une résine anionique,</w:t>
        <w:br/>
        <w:br/>
        <w:t>l’Amberjet 4200ClTM , et particulièrement l’effet des conditions expérimentales d’immobilisation</w:t>
        <w:br/>
        <w:br/>
        <w:t>sur l’activité et l’énantiosélectivité de la CRL immobilisée. Nous avons mené notre étude sur une</w:t>
        <w:br/>
        <w:br/>
        <w:t>réaction modèle, l’acylation du 1-phényléthanol racémique par l’acétate de vinyle. Les facteurs</w:t>
        <w:br/>
        <w:br/>
        <w:t>influençant potentiellement l’immobilisation (température, pH, volume et concentration du</w:t>
        <w:br/>
        <w:br/>
        <w:t>tampon, temps, vitesse d’agitation et rapport enzyme/support) et leur impact sur le</w:t>
        <w:br/>
        <w:br/>
        <w:t>fonctionnement de la CRL immobilisée, en particulier sur son énantiosélectivité, ont été étudiés</w:t>
        <w:br/>
        <w:br/>
        <w:t>par la méthode des plans d’expériences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