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des stress thermiques chaleur et froid sur quelques paramètres physiologiques et biochimiques du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Chaker; Amina/ Louhichi, Brinis/ Université Badji Mokhtar/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physiologie/ chocs thermiques/ </w:t>
            </w:r>
          </w:p>
        </w:tc>
      </w:tr>
    </w:tbl>
    <w:p>
      <w:pPr>
        <w:pStyle w:val="Heading3"/>
      </w:pPr>
      <w:r>
        <w:t>Résumé :</w:t>
      </w:r>
    </w:p>
    <w:p>
      <w:r>
        <w:t xml:space="preserve">Il existé de nombreuses indications chez les végélaux d'un potentiel génétique cohsidérable pour la tolérance aux stress environnementaux. la conmussance de la variabilité intraspécifique que les plantes manifestent pour la tolérance au stress thermique, permet d'envisager la sélection de génotypes résistoms. c'est pourquoi plusieurs critères physiologiques et hiochimiques ont été utilisés par le biais de quelques tests suffisamment simples et rapides, dons le but d'une discrimination entre les génotypes pour la résistance aux stress thermiques à la chaleur  et au froid  ainsi qu'une étude histologique des feuilles et racines.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