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Caracterisation phenomorpho physiologique des nouvelles selections de ble dur triticum durum desf pour l'adaptation et la stabilite du rendement dans la region du khroub</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Belahcene; Nabiha/ Louhichi, Brinis/ Université Badji Mokhtar/ </w:t>
            </w:r>
          </w:p>
        </w:tc>
      </w:tr>
      <w:tr>
        <w:trPr>
          <w:trHeight w:val="567"/>
        </w:trPr>
        <w:tc>
          <w:tcPr>
            <w:tcW w:type="dxa" w:w="3000"/>
          </w:tcPr>
          <w:p>
            <w:r>
              <w:t>Nombre de Pages</w:t>
            </w:r>
          </w:p>
        </w:tc>
        <w:tc>
          <w:tcPr>
            <w:tcW w:type="dxa" w:w="7000"/>
          </w:tcPr>
          <w:p>
            <w:r>
              <w:t>69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adaptation/ stress abiotiques/ sélection/ stabilité du rendement/ </w:t>
            </w:r>
          </w:p>
        </w:tc>
      </w:tr>
    </w:tbl>
    <w:p>
      <w:pPr>
        <w:pStyle w:val="Heading3"/>
      </w:pPr>
      <w:r>
        <w:t>Résumé :</w:t>
      </w:r>
    </w:p>
    <w:p>
      <w:r>
        <w:t xml:space="preserve">La présente contribution, conduite à la station de la recherche agronomique itgc du khroub s'est fixée pour objectif, la sélection pour la tolérance aux stress abiotiques chez le blé dur  triticum durum desf . elle a portée sur le suivi du comportement phéno morphophysiologique de 15 sélections qui ont été évaluées au cours de l'année 2000/2001 dans un dispositif expérimental en blocs complètement randomisés avec quatre répétitions et parcelles élémentaires de 12 m2. </w:t>
        <w:br/>
        <w:br/>
        <w:t xml:space="preserve">les corrélations entre les 21 caractères analysés et les stratégies d'adaptation développées par chaque génotype ont été décrite et la possibilité d'associer à la tolérance à la sécheresse un rendement satisfaisant et stable a été discutée . </w:t>
        <w:br/>
        <w:br/>
        <w:t xml:space="preserve">les résultats préliminaires mettent en relief une grande variabilité génotypique. le rendement en grains est lié en nombre de grains par épi et par unité de surface, au poids de 1000 grains et aux indices d'efficiences. les génotypes tolérants aux stress abiotiques présents dans la région, minimisent la baisse du rendement grâce à des accumulations importantes de sucres et de proline . les valeurs de l'intégrité cellulaire sont fortement corrélées aux concentrations d'osmoticums, alors que la tolérance au stress hydrique est plutôt liée à la phénologie, à la vitesse de perte d'eau épicuticulaire et au dépôt de cire sur le feuillage . un poids élevé de matière sèche à maturité associé à une importante surface foliaire sont les caractéristiques des génotypes tardifs à l'épiaison. tenant compte de l'information apportée par ces liaisons, il est possible de sélectionner des génotypes tolérants, productifs et stables.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