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non conventionnelle de la distribution des hydrocarbures polycycliquees aromatiques prioritaires dans les sols et les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Bouarra; Nabil/ Université Badji Mokhtar/ Djallel, 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propriétés physico-chimiques/ koc/ </w:t>
            </w:r>
          </w:p>
        </w:tc>
      </w:tr>
    </w:tbl>
    <w:p>
      <w:pPr>
        <w:pStyle w:val="Heading3"/>
      </w:pPr>
      <w:r>
        <w:t>Résumé :</w:t>
      </w:r>
    </w:p>
    <w:p>
      <w:r>
        <w:t>Nous avons utilisé une approche spr hybride, associant l'algorithme génétique pourla sélection de sous ensembles de variables significatives parmi les 1600 calculées, et soit unrégression linéaire multiple (rlm) pour modéliser deux (2) propriétés physico-chimique(logkaw, log koc) des 16 haps prioritaires. ces haps ont une grandeinfluencs'environnement et ont étés classé prioritaire par l'agence de protection de l'environneme(usa) (us-epa) les d'où l'intérêt de notre travail.</w:t>
        <w:br/>
        <w:br/>
        <w:t>les paramètres statistiques (r², q², q²boot, q²lmo, r², eqmp, et eqmc) des différents modèles calculés ; atteste, en générale, de leur pertinence.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