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Réduction énantiosélective de cétones aromatiques etaliphatiques par transfert d’hydrure dans l’eau avec des complexes de ruthénium (II)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Boukachabia, Mourad/ Université Badji Mokhtar/ Zouiouedche Aribi, Louisa/ </w:t>
            </w:r>
          </w:p>
        </w:tc>
      </w:tr>
      <w:tr>
        <w:trPr>
          <w:trHeight w:val="567"/>
        </w:trPr>
        <w:tc>
          <w:tcPr>
            <w:tcW w:type="dxa" w:w="3000"/>
          </w:tcPr>
          <w:p>
            <w:r>
              <w:t>Nombre de Pages</w:t>
            </w:r>
          </w:p>
        </w:tc>
        <w:tc>
          <w:tcPr>
            <w:tcW w:type="dxa" w:w="7000"/>
          </w:tcPr>
          <w:p>
            <w:r>
              <w:t>180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catalyse asymétrique/ ruthénium/ </w:t>
            </w:r>
          </w:p>
        </w:tc>
      </w:tr>
    </w:tbl>
    <w:p>
      <w:pPr>
        <w:pStyle w:val="Heading3"/>
      </w:pPr>
      <w:r>
        <w:t>Résumé :</w:t>
      </w:r>
    </w:p>
    <w:p>
      <w:r>
        <w:t>Dans ce travail de recherche, nous nous sommes intéressés à la réaction de réduction asymétrique de diverses cétones aliphatiques et aromatiques par transfert asymétrique d’hydrure dans l’eau catalysée par des complexes chiraux de uthénium (II). Nous avons mis au point deux systèmes catalytiques impliquant le [Ru (II)] dans l’eau avec deux familles de</w:t>
        <w:br/>
        <w:br/>
        <w:t xml:space="preserve">ligands très différents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