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 quelques températures caractéristique en chromatographie en phase gazeuse à température programmée en utilisant des données isothermes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Bougheloum; Chafika/ Messadi, Djelloul/ Université Badji Mokhtar/ </w:t>
            </w:r>
          </w:p>
        </w:tc>
      </w:tr>
      <w:tr>
        <w:trPr>
          <w:trHeight w:val="567"/>
        </w:trPr>
        <w:tc>
          <w:tcPr>
            <w:tcW w:type="dxa" w:w="3000"/>
          </w:tcPr>
          <w:p>
            <w:r>
              <w:t>Nombre de Pages</w:t>
            </w:r>
          </w:p>
        </w:tc>
        <w:tc>
          <w:tcPr>
            <w:tcW w:type="dxa" w:w="7000"/>
          </w:tcPr>
          <w:p>
            <w:r>
              <w:t>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Chromatographie en phase gaseuse/  programation de température/ </w:t>
            </w:r>
          </w:p>
        </w:tc>
      </w:tr>
    </w:tbl>
    <w:p>
      <w:pPr>
        <w:pStyle w:val="Heading3"/>
      </w:pPr>
      <w:r>
        <w:t>Résumé :</w:t>
      </w:r>
    </w:p>
    <w:p>
      <w:r>
        <w:t>Les températures pour lesquelles il ya égalité des temps de rétention (tt) et des indices de rétention (ti) obtenus en élutions isotherme et programmée, ainsi que la température significative (t') et la température de rétention (tr) ont été calculées à partir de mesures isothermes. les températures ti et t' sont comparables.</w:t>
        <w:br/>
        <w:br/>
        <w:t>le temps mort, nécessaire pour le calcul du facteur de capacité, dont les variations en fonction de 1/t permettent de déterminer les intrants du modèle, a été estimé par la méthode d'al-thamir étendue à 3 homologues ayant un nombre d'atomes de carbone n, (n+j),  (n+jk);  n, j et k étant des entiers quelconques.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