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magnétocaloriques nanostructurés : corrélation microstructure-comportement  magnétique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Chabi; Thaounza/ Université Badji Mokhtar/ Bensebaa,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mécanique haute énergie/ mesures magnétiques/ effet magnétocalorique/ </w:t>
            </w:r>
          </w:p>
        </w:tc>
      </w:tr>
    </w:tbl>
    <w:p>
      <w:pPr>
        <w:pStyle w:val="Heading3"/>
      </w:pPr>
      <w:r>
        <w:t>Résumé :</w:t>
      </w:r>
    </w:p>
    <w:p>
      <w:r>
        <w:t>Les composés type Nanoperm Fe92-xNb8Bx (x = 5, 10, 15 et 20) ont été élaborés par</w:t>
        <w:br/>
        <w:br/>
        <w:t>broyage mécanique haute énergie à partir de poudres élémentaires pures dans un broyeur</w:t>
        <w:br/>
        <w:br/>
        <w:t>planétaire type Retsch PM 400. Les changements morphologiques, microstructuraux et</w:t>
        <w:br/>
        <w:br/>
        <w:t>structuraux ont été suivis, en fonction de la teneur en bore, par microscopie électronique à</w:t>
        <w:br/>
        <w:br/>
        <w:t>balayage et diffraction de rayons X en utilisant le programme d’affinement "MAUD" basé sur</w:t>
        <w:br/>
        <w:br/>
        <w:t>la méthode de Rietveld. Les propriétés magnétiques, thermiques et magnétocaloriques ont été</w:t>
        <w:br/>
        <w:br/>
        <w:t>étudiées par spectrométrie Mِssbauer, magnétomètres et analyse calorimétrique différentielle</w:t>
        <w:br/>
        <w:br/>
        <w:t>programmée, respectivement. Les morphologies des mélanges de poudres sont différentes les</w:t>
        <w:br/>
        <w:br/>
        <w:t>unes des autres et sont dépendantes de la teneur en bore. La distribution des particules de</w:t>
        <w:br/>
        <w:br/>
        <w:t>poudre est relativement large avec une grande quantité de fragments fins dont la majorité</w:t>
        <w:br/>
        <w:br/>
        <w:t>possède une taille de l’ordre de 1 µm. L’affinement Rietveld des diagrammes de diffraction</w:t>
        <w:br/>
        <w:br/>
        <w:t>montrent la formation d’une structure nanocomposite où le Fea et le borure Fe2B sont</w:t>
        <w:br/>
        <w:br/>
        <w:t>dispersés dans une matrice type amorphe pour toutes les compositions. La solution solide</w:t>
        <w:br/>
        <w:br/>
        <w:t>Fe(Nb) a été seulement observée pour le mélange 5 %B alors que les mélanges 15 et 20 %B</w:t>
        <w:br/>
        <w:br/>
        <w:t>ont révélé la présence du borure FeB. La taille moyenne des cristallites des différentes phases</w:t>
        <w:br/>
        <w:br/>
        <w:t>obtenues varie entre 7 et 24 nm. Les résultats de la spectrométrie Mِssbauer confirment ceux</w:t>
        <w:br/>
        <w:br/>
        <w:t>de la diffraction de rayons X. L’augmentation de la teneur en bore conduit à une</w:t>
        <w:br/>
        <w:br/>
        <w:t>augmentation de la proportion relative de la phase type amorphe et de la coercivité, Hc, tandis</w:t>
        <w:br/>
        <w:br/>
        <w:t>que l’aimantation à saturation, Ms, diminue jusqu’à atteindre 92 uem/g pour le mélange 20</w:t>
        <w:br/>
        <w:br/>
        <w:t>%B. Le durcissement magnétique est mis en évidence par l’augmentation importante de Hc</w:t>
        <w:br/>
        <w:br/>
        <w:t>pour l'échantillon 20 %B de 0,014 à 0,0595 T en abaissant la température de 400 à 5 K,</w:t>
        <w:br/>
        <w:br/>
        <w:t>respectivement. La température de Curie, TC, de la phase amorphe augmente avec</w:t>
        <w:br/>
        <w:br/>
        <w:t>l’augmentation de la teneur en bore jusqu'à 15 %B, puis diminue. Le mélange de poudre 20</w:t>
        <w:br/>
        <w:br/>
        <w:t>%B présente des caractéristiques magnétocaloriques et le maximum de l’entropie magnétique,</w:t>
        <w:br/>
        <w:br/>
        <w:t>|?SM| augmente avec le champ magnétique appliqué atteignant une valeur de l’ordre de 1,45</w:t>
        <w:br/>
        <w:br/>
        <w:t>J/kg.K. Les thermogrammes DSC présentent plusieurs pics endothermiques et exothermiques</w:t>
        <w:br/>
        <w:br/>
        <w:t xml:space="preserve">qui s’étalent sur le domaine de températures 50–700°C.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