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structurales, électroniques des quaternaires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Labidi, Malika/ Ghemid, Sebti/ Université Badji Mokhtar/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dft/ alliages quaternaires/ FP-LAPW/ </w:t>
            </w:r>
          </w:p>
        </w:tc>
      </w:tr>
    </w:tbl>
    <w:p>
      <w:pPr>
        <w:pStyle w:val="Heading3"/>
      </w:pPr>
      <w:r>
        <w:t>Résumé :</w:t>
      </w:r>
    </w:p>
    <w:p>
      <w:r>
        <w:t>La méthode ab initio des ondes planes augmentées linéarisées (FP-LAPW) implémentée par le code Wien2k dans le cadre de la théorie de la fonctionnelle de la densite (DFT) a été appliquée pour étudier les propriétés structurales, électroniques de l'alliage quaternaire Pb1_xCaS1_ySey à base des composés binaires PbS, PbSe, CaSe et CaSe. pour la détermination du potentiel d'échange et de corrélation, nous avons utilisé l'approximation du gradient généralisé (GGA) pour étudier les propriétés structurales les propriétés électroniques sont déterminées en utilisant en plus de l'approximation GGA, l'approximation d'Engel Vosko(EV-GGA). Pour calculer le</w:t>
        <w:br/>
        <w:br/>
        <w:t>paramètre cristallin et le gap énergétique de l'alliage quaternaire Pb1-xCaxSySe1-y, nous avons</w:t>
        <w:br/>
        <w:br/>
        <w:t>adopté des super cellules cubiques de 64 atomes, où la configuration choisie est celle minimisant</w:t>
        <w:br/>
        <w:br/>
        <w:t>l'énergie totale. Nous avons également déterminé l'énergie de formation EF de l'alliage</w:t>
        <w:br/>
        <w:br/>
        <w:t>quaternaire. Nous avons trouvé que le gap énergétique augmente avec l'augmentation de x et de</w:t>
        <w:br/>
        <w:br/>
        <w:t>y, les gaps obtenus s’approchent des gaps des constituants binaires. Les résultats montrent aussi</w:t>
        <w:br/>
        <w:br/>
        <w:t>que les gaps énergétiques pour les deux substrats PbS et SrS pour les différentes concentrations x</w:t>
        <w:br/>
        <w:br/>
        <w:t>et y sont presque similaires.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