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 nanomatériaux à mémoire de forme par mécano synthèse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Sakher; Elfahem/ Benchiheub, Mostepha/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nanocristallines/ broyage macanique/ </w:t>
            </w:r>
          </w:p>
        </w:tc>
      </w:tr>
    </w:tbl>
    <w:p>
      <w:pPr>
        <w:pStyle w:val="Heading3"/>
      </w:pPr>
      <w:r>
        <w:t>Résumé :</w:t>
      </w:r>
    </w:p>
    <w:p>
      <w:r>
        <w:t>Des poudres Ni50Ti50nanostructurées ont été préparées par broyage mécanique à partir</w:t>
        <w:br/>
        <w:br/>
        <w:t>de poudres élémentaires de taille micrométrique Ni et Ti, en utilisant un broyeur planétaire à</w:t>
        <w:br/>
        <w:br/>
        <w:t>billes de type Fritsch Pulverisette 7. Dans cette étude, l'effet du temps de broyage sur</w:t>
        <w:br/>
        <w:br/>
        <w:t>l'évolution des paramètres structuraux et microstructuraux est étudié.</w:t>
        <w:br/>
        <w:br/>
        <w:t>L'homogénéité de la composition chimique et la morphologie et la taille de la poudre</w:t>
        <w:br/>
        <w:br/>
        <w:t>ont été étudiées par microscopie électronique à balayage (MEB) couplée à la spectroscopie X</w:t>
        <w:br/>
        <w:br/>
        <w:t>à dispersion d'électrons(EDS). Il a été observé lors de la progression du broyage, la</w:t>
        <w:br/>
        <w:br/>
        <w:t>domination de la fracturation sur le processus de soudage conduisant à l'augmentation de la</w:t>
        <w:br/>
        <w:br/>
        <w:t>quantité de phase amorphe. La fragilité des poudres augmente au fur et à mesure de</w:t>
        <w:br/>
        <w:br/>
        <w:t>l’augmentation du temps de broyage. La taille des particules est sensiblement réduite et la</w:t>
        <w:br/>
        <w:br/>
        <w:t>morphologie sphérique est de plus en plus prépondérante. L’apparition et l’augmentation en</w:t>
        <w:br/>
        <w:br/>
        <w:t>nombre de particules cristallines sont observées après 72 h de broyage. L’analyse</w:t>
        <w:br/>
        <w:br/>
        <w:t>cartographique montre une excellente distribution des éléments à partir de 24heures de</w:t>
        <w:br/>
        <w:br/>
        <w:t>broyage comparée à celle obtenue aux premiers temps de broyage.</w:t>
        <w:br/>
        <w:br/>
        <w:t>Les diffractogrammes obtenus des poudres broyées ont été affinés par le méthode de</w:t>
        <w:br/>
        <w:br/>
        <w:t>Rietveld.en utilisant le programme MAUD. Différents paramètres ont été étudiés notamment</w:t>
        <w:br/>
        <w:br/>
        <w:t>la composition des phases trouvées et leurs paramètres structuraux / microstructuraux tels</w:t>
        <w:br/>
        <w:br/>
        <w:t>que les paramètres du réseau, la taille moyenne des cristallites &lt;L&gt;, les taux de</w:t>
        <w:br/>
        <w:br/>
        <w:t>microdéformations &lt;s2&gt;1/2 et les probabilités de fautes d'empilement (SFP).</w:t>
        <w:br/>
        <w:br/>
        <w:t>Pour un temps de broyage prolongé, un mélange de phase amorphe, de phases</w:t>
        <w:br/>
        <w:br/>
        <w:t>cristallines NiTi-martensite (B19`) et NiTi-austénite (B2), en plus des solutions solides FCCNi (Ti) et HCP-Ti (Ni), se sont formées. La taille des cristallites diminue jusqu'à l'échelle</w:t>
        <w:br/>
        <w:br/>
        <w:t>nanométrique tandis que le taux de microdéformations augmente. On observe que pour des</w:t>
        <w:br/>
        <w:br/>
        <w:t>temps de broyage les plus longs, les déformations plastiques introduisent une grande quantité</w:t>
        <w:br/>
        <w:br/>
        <w:t>de défauts d'empilement dans HCP-Ti (Ni) plutôt que dans FCC-Ni (Ti), qui sont</w:t>
        <w:br/>
        <w:br/>
        <w:t>principalement responsables de la grande quantité de phase amorphe observée.</w:t>
        <w:br/>
        <w:br/>
        <w:t>Les mesures magnétiques du mélange de poudres Ni50Ti50 broyées présentent un</w:t>
        <w:br/>
        <w:br/>
        <w:t>caractère ferromagnétique doux où les paramètres magnétiques se révèlent très sensibles au</w:t>
        <w:br/>
        <w:br/>
        <w:t>temps de broyage, principalement en raison du raffinement de la taille des particules ainsi que</w:t>
        <w:br/>
        <w:br/>
        <w:t>de la formation de la phase amorphe. Après 72h de broyage, le champ coercitif Hc augmente</w:t>
        <w:br/>
        <w:br/>
        <w:t>de la valeur 32.8 pour atteindre 285.8 Oe, cela peut être dû à : (i) diminution du rapport de la</w:t>
        <w:br/>
        <w:br/>
        <w:t>phase amorphe et (ii) l'augmentation de la proportion de phase martensitique (21,58%). Nous</w:t>
        <w:br/>
        <w:br/>
        <w:t>avons également observé un changement dans les valeurs de Ms et Mr qui ne sont affectées</w:t>
        <w:br/>
        <w:br/>
        <w:t>que par la phase amorphe, Plus le pourcentage de la phase amorphe est élevé, plus les</w:t>
        <w:br/>
        <w:br/>
        <w:t>proportions de Ms et Mr sont faibles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