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structure,evaluation biologique et mesure de l'hydrosolubilite des nitrososulfamides derives d 'amines secondaires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Bouasla; Radia/ Université Badji Mokhtar/ Aouf,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evaluation biologique/ synthese structure/ </w:t>
            </w:r>
          </w:p>
        </w:tc>
      </w:tr>
    </w:tbl>
    <w:p>
      <w:pPr>
        <w:pStyle w:val="Heading3"/>
      </w:pPr>
      <w:r>
        <w:t>Résumé :</w:t>
      </w:r>
    </w:p>
    <w:p>
      <w:r>
        <w:t>D"après les résultats de la sensibilité des souches aux produits testés, on constate que le produit 39c présente une meilleure activité anti-bactérienne, cette meilleure activité se traduit par la réduction de l'intervalle de variation de CMI sur les Bacilles Gram négatifs Du point de vue chimique cette meilleure activité du produit 39c</w:t>
        <w:br/>
        <w:br/>
        <w:t>s'explique par la présence du groupement chloroéthyl .</w:t>
        <w:br/>
        <w:br/>
        <w:t>Alors, une modification de la structure chimique pourrait être un facteur favorable pour une meilleure activité anti-bactérienne des substances synthétisées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