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Inventaire de la famille des Oléacées dans le Parc National d'El Kala P.N.E.K Phytochimie de Olea europea.L.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Chenna; Adala/ Université Badji Mokhtar/ Seridi,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Magsiter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aromatogramme/ histologie/ huile fixe/ olea europea L./ analyses physicochimiques/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de notre étude est d'analyser les huiles d'olive de quatre variétés différente </w:t>
        <w:br/>
        <w:br/>
        <w:t xml:space="preserve">et de comparer l'efficacité de leurs effets sur trois germes pathogènes. </w:t>
        <w:br/>
        <w:br/>
        <w:t xml:space="preserve">nous avons choisi trois zones d'études appartenant à deux étages bioclimatiques différents annaba, elkala et el-oued. </w:t>
        <w:br/>
        <w:br/>
        <w:t xml:space="preserve">nous sommes passés la pratique par des méthodes différentes : </w:t>
        <w:br/>
        <w:br/>
        <w:t xml:space="preserve">une étude histologique de la partie aérienne au niveau des feuilles et des tiges de l'espèce en question d'olea europea L. </w:t>
        <w:br/>
        <w:br/>
        <w:t xml:space="preserve">nous avons également étudié les paramètres physico-chimiques des huiles (indice de réfraction, indice d'acidité, la densité. les résultats nous on permit de conclure que seul, l'échantillon de l'huile d'olive h3 est proche de la norme international </w:t>
        <w:br/>
        <w:br/>
        <w:t xml:space="preserve">d'oléicole par rapport aux autres huiles  h2eth, l'analyse qualitative de ces huiles à été réalisé par chromatographie sur couche mince CCM qui nous a permit de séparer deux composants d'acide phénolique : acide caféique et acide gentisique. </w:t>
        <w:br/>
        <w:br/>
        <w:t xml:space="preserve">nous avons enfin appliqué ces huiles sur trois germes pathogènes e coli, citrobacter koseri, enterobacter asburiaesous forme pure témoin et après dilution de 2/2 et 1/3, et 1/4 nous avons obtenu des résultats encourageants, mais l'importance d'inhibition diffère d'une huile à une autre.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