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traits morphologiques et biochimiques d'adaptation au déficit hydrique chez 05 génotypes de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 Mounia/ Brinis, Louhichi/ Université Badji Mokhtar/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blé dur/ stress hydrique/ physiologie/ tolerance/ traits d'adaptations/ </w:t>
            </w:r>
          </w:p>
        </w:tc>
      </w:tr>
    </w:tbl>
    <w:p>
      <w:pPr>
        <w:pStyle w:val="Heading3"/>
      </w:pPr>
      <w:r>
        <w:t>Résumé :</w:t>
      </w:r>
    </w:p>
    <w:p>
      <w:r>
        <w:t xml:space="preserve">Un certain nombre de tests d'identification de marqueur physiologique et biochimique de tolérance de stress hydrique de 5 génotypes de blé dur ont constitué l'essentiel de cette étude. les résultats obtenus permettent de mettre en relief d'une part la spécificité génotypique pour l'ensemble des traits analysé et d'autre part d'apprécier l'expression d'accommodation en termes de seuil de tolérance. l'ensemble des commentaires est limité au stade plantule, stade repère de prédiction de l'adaptation des plantes. s'inscrivant dans une perspective de sélection de caractères, cette modeste contribution aura permis de confirmer la validité de certains marqueurs de tolérance au déficit hydrique. concrètement elle constitue aussi un plus à ajuster à l'actif de la compréhension des mécanismes d'adaptation au stress biotique, le stress hydrique en particulier.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