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Compression des images en couleurs fixes en utilisant la DWT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Benyahia; Mohamed/ Dogmane,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compression fractale/ codage statistique/ méthodes de compression/ </w:t>
            </w:r>
          </w:p>
        </w:tc>
      </w:tr>
    </w:tbl>
    <w:p>
      <w:pPr>
        <w:pStyle w:val="Heading3"/>
      </w:pPr>
      <w:r>
        <w:t>Résumé :</w:t>
      </w:r>
    </w:p>
    <w:p>
      <w:r>
        <w:t>La compression des images numérique est devenue une opération inévitable afin de</w:t>
        <w:br/>
        <w:br/>
        <w:t>diminuer leurs tailles en vue d’une transmission et/ou stockage. Cette compression</w:t>
        <w:br/>
        <w:br/>
        <w:t>s’accompagne souvent d’une certaine dégradationn. L’objectif visé pour proposer de</w:t>
        <w:br/>
        <w:br/>
        <w:t>nouvelles techniques de compression est d’assurer un compromis entre un taux de</w:t>
        <w:br/>
        <w:br/>
        <w:t>compression élevé et une dégradation moindre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