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biocides par élèctrochloration et réalisation d'un capteur de corrosion a fibre optique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Abderrahmane; Sihem/ Université Badji Mokhtar/ Kherrat, R./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fibre optique/ élèctrochloration/ </w:t>
            </w:r>
          </w:p>
        </w:tc>
      </w:tr>
    </w:tbl>
    <w:p>
      <w:pPr>
        <w:pStyle w:val="Heading3"/>
      </w:pPr>
      <w:r>
        <w:t>Résumé :</w:t>
      </w:r>
    </w:p>
    <w:p>
      <w:r>
        <w:t>Le travail, présenté dans la partie A, a permis d'établir la sensibilité des différents germes aux traitements biocides par le chlore d'électrolyse et le chlore d'eau de Javel. Dans les deux cas, nous observons une résistance croissante dans le sens : Streptocoques, Coliformes fécaux, Coliformes totaux, Entérobactéries totales et germes totaux. Nous constatons que les germes d'une même famille présentent des sensibilités différentes aux traitements. Les résultats montrent que le traitement  biocide par le chlore d'électrolyse présente une efficacité exceptionnelle par rapport au traitement à l'eau de Javel</w:t>
        <w:br/>
        <w:br/>
        <w:t xml:space="preserve">  Le traitement biocide par électrochloration  en régime de polarisation  imposée et pulsée fait intervenir plusieurs énomènes (Champ électrique, Chlore actif - Champ électrique, et Chlore actif-Champ électrique - Ions passés en solution). L'effet  biocide synergique de ces derniers est montré par les efficacités des traitements sur l'inactivation des germes suivants : Pseudomonas Aeruginosa, E.Coli, Staphylocoques Coagulases Positives et Staphylocoques Coagulases Négatives.</w:t>
        <w:br/>
        <w:br/>
        <w:t xml:space="preserve"> Ensuite nous avons mis à profit l'aptitude de l'acier de type Z4CND17.04  à la repassivation en régime de polarisation pulsé en faisant varier les fréquences dans l'intervalle (100 - 10+5) s-1. Les résultats obtenus montrent que pour les fréquences élevées, la vitesse de corrosion diminue notablement tandis que la quantité de chlore d'électrolyse augmente considérablement.    L'étude, présentée dans la partie B,  a permis  une meilleure compréhension du fonctionnement d'un capteur à fibre optique métallisée au Ni-P  puis à l'or. Elle a abouti à la conception, et à la mise au point, d'un capteur  de corrosion. Une application  a été développée afin de montrer  la capacité  de ce capteur, à fonctionner  dans  des milieux liquides agressifs.   Ce capteur, placé  dans des structures métalliques, peut donner  des indications  significatives sur l'évolution  de la corrosion, ce qui permet de réduire  les incidents  et le coût de la maintenance. Il possède  plusieurs caractéristiques  intéressantes ; grâce à son avantage : petite taille ; robustesse ; possibilité  d'une production  en masse à bas prix. Il est possible  d'adapter  les différents paramètres au but  cherché  afin d'optimiser les performances.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