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Shampooing à base de rosmarinus officinalis romarin  caractérisation phytochimique et évaluation toxicologique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Boutabba; Nawel/ Université Badji Mokhtar/ Hamdi pacha, 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hygiene/ romarin/ phytochimie/ cosmétologie/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phytothérapie ou soin par les plantes apparaît aujourd'hui comme une . nouvelle science. son développement a crée une sous spécialité dénommée cosmétologie, qui a pour but de prendre en charge l'hygiène et les soins du corps. </w:t>
        <w:br/>
        <w:br/>
        <w:t xml:space="preserve">ainsi, nous avons pensé à notre patrimoine traditionnel pour trouver des substances naturelles afin de les incorporées dans des préparations notre choix a porté sur le romarin, nous nous sommes proposés d'évaluer son efficacité comme shampooing. après extraction de l'huile essentielle, nous avons procédé a une étude phytochimique. l'extrait a été incorporer dans une préparation galénique sous forme de gel (shampooing). suite à cela, nous avons réalisé les tests conventionnels de toxicité in vivo soit : - l'irritation oculaire </w:t>
        <w:br/>
        <w:br/>
        <w:t xml:space="preserve">l'indice d'irritation primaire cutanée </w:t>
        <w:br/>
        <w:br/>
        <w:t xml:space="preserve">l'agressivité superficielle cutanée par application itérative. </w:t>
        <w:br/>
        <w:br/>
        <w:t xml:space="preserve">ces tests ont montré une bonne tolérance de la peau et des muqueuses, à la substance utilisée.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