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Rétention des phénols en chromatographie liquide à haute performance sur phase inversée greffée c18 corrélation avec le facteur de partage et les descripteurs moléculaires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Acidi; Anissa/ Bouchami, Tidjani/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 xml:space="preserve">ill.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cheomtgraphie liquide de haute performance / logp/ </w:t>
            </w:r>
          </w:p>
        </w:tc>
      </w:tr>
    </w:tbl>
    <w:p>
      <w:pPr>
        <w:pStyle w:val="Heading3"/>
      </w:pPr>
      <w:r>
        <w:t>Résumé :</w:t>
      </w:r>
    </w:p>
    <w:p>
      <w:r>
        <w:t>le temps de rétention en chromatographie liquide à haute performance sur phase greffée inverséee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