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biometrique de trois populations locales de graminees fourrageres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Boudelaa; Mokhtar/ Semadi, A/ Université Badji Mokhtar/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croissance/ biométrie/ climat/ biomasse/ comportements/ </w:t>
            </w:r>
          </w:p>
        </w:tc>
      </w:tr>
    </w:tbl>
    <w:p>
      <w:pPr>
        <w:pStyle w:val="Heading3"/>
      </w:pPr>
      <w:r>
        <w:t>Résumé :</w:t>
      </w:r>
    </w:p>
    <w:p>
      <w:r>
        <w:t>Les travaux en cours contribuent à des études comparatives qui ont été réalisées dans des conditions écologiques ordinaires. ces études pourraient être considérées comme un travail standard pour la recherche sur les types d'espèces étudiées.</w:t>
        <w:br/>
        <w:br/>
        <w:t>nos travaux se sont concentrés sur les propriétés et les caractéristiques des espèces examinées. les mesures ont porté sur la longueur des tiges, le nombre de talles et de feuilles, les calculs du poids sec et humide. la production de graines et leur poids de 1000 sont également connus des techniques et méthodes simples ont été utilisées dans ce travail pendant et 5ericd de deux ans. les résultats obtenus ont clairement montré que la période propice à la croissance des meilleures espèces étudiées est la saison tempérée du printemps. les températures peuvent être plus affectées par la température que par d'autres conditions.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