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Caracterisation microstructurale et cristallographique des alliages a base de cuivre elabores par procede 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Kebbache; Ismahane/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caractérisation/ cristallographique/ microstructurale/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élaboré plusieurs alliages à base de cuivre (Cu-Al) avec</w:t>
        <w:br/>
        <w:br/>
        <w:t>différentes teneurs en Al (%.pds Al). L’élaboration a été effectuée dans un four sous induction</w:t>
        <w:br/>
        <w:br/>
        <w:t>haute fréquence (HF) et sous vide primaire, à partir de poudres fines de cuivre (99,99 %) et</w:t>
        <w:br/>
        <w:br/>
        <w:t>d’aluminium (99,99 %). La microstructure qui résulte a été observée par des méthodes</w:t>
        <w:br/>
        <w:br/>
        <w:t>métallographiques standards, diffraction des rayons X, DSC, ainsi que par microscopie</w:t>
        <w:br/>
        <w:br/>
        <w:t>électronique à balayage.</w:t>
        <w:br/>
        <w:br/>
        <w:t>L’utilisation de différentes techniques de caractérisation a permis d’identifier les différentes</w:t>
        <w:br/>
        <w:br/>
        <w:t>phases intermétalliques présentes : Al2Cu, AlCu, Al4Cu9 et AlCu3.</w:t>
        <w:br/>
        <w:br/>
        <w:t>Ce mode d’élaboration nous a permis d’obtenir une phase métastable non prévue par le</w:t>
        <w:br/>
        <w:br/>
        <w:t>diagramme d’équilibre sans traitement thermique nommée « martensite » ainsi qu’une</w:t>
        <w:br/>
        <w:br/>
        <w:t>séparation de phase entre cuivre et aluminium à 14% pds Al.</w:t>
        <w:br/>
        <w:br/>
        <w:t>La microdureté Vickers des alliages massifs Cu-Al est linéaire jusqu’à 13,5% et atteint un</w:t>
        <w:br/>
        <w:br/>
        <w:t>maximum de 1323.MPa à 13,5%pds-Al.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