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de deux huiles essentielles (eucalyptus globulus et lavandula angustifolia) évaluation de leurs activités antifongique, antibactérienne et antioxydante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 Moussa; Abdel Hakim/ Sbartai, Ibtissem/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composition chimique/ activité antibactérienne/ huiles essentielles/ </w:t>
            </w:r>
          </w:p>
        </w:tc>
      </w:tr>
    </w:tbl>
    <w:p>
      <w:pPr>
        <w:pStyle w:val="Heading3"/>
      </w:pPr>
      <w:r>
        <w:t>Résumé :</w:t>
      </w:r>
    </w:p>
    <w:p>
      <w:r>
        <w:t xml:space="preserve">L’objectif de ce travail est d’étudier d’une part la composition chimique de deux huiles  essentielles (HE), l’une extraite des sommités fleuries de lavande sèches (Lavandula angustifolia), l’autre des feuilles d’eucalyptus (Eucalyptus globulus)  écoltées tous deux  à la commune de Seraidi dans le Nord-Est Algérien et d’autre part évaluer leurs potentiels antioxydant et antimicrobien notamment sur l’agent pathogène de la Fusariose  du Blé dur (Fusarium roseum) et sur le ravageur de l’olivier (Pseudomonas savastanoi).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