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et électroniques des alliages quaternairesZn1-xBexSySe1-y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Khedidja/ Université Badji Mokhtar/ Meradji,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 composite/ comportement mécanique/ flexion 3 points 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une analyse linéaire visant la simulation, par la méthode des éléments finis,</w:t>
        <w:br/>
        <w:br/>
        <w:t>du comportement mécanique en flexion 3 points d’une poutre de composite stratifié orthotrope</w:t>
        <w:br/>
        <w:br/>
        <w:t>constituée de huit couches. Chaque pli est composé d’une matrice époxyde renforcée par des fibres</w:t>
        <w:br/>
        <w:br/>
        <w:t>longues de carbone. En raison de la symétrie, on étudiera seulement un quart de l’éprouvette dont la</w:t>
        <w:br/>
        <w:br/>
        <w:t>partie haute est en compression alors que la basse est en traction. Le but de notre étude est de mettre</w:t>
        <w:br/>
        <w:br/>
        <w:t>en évidence l’influence de l’orientation des fibres, la position des couches puis l’épaisseur de cellesci sur la distribution et l’évolution des champs de contraintes et de déformations longitudinalement</w:t>
        <w:br/>
        <w:br/>
        <w:t>et transversalement dans chaque pli.</w:t>
        <w:br/>
        <w:br/>
        <w:t>Dans notre recherche, nous avons donc montré l’importance de l’orientation et de la nature des</w:t>
        <w:br/>
        <w:br/>
        <w:t>fibres qui supportent principalement et transmettent les efforts exercés sur la structure. Nous avons</w:t>
        <w:br/>
        <w:br/>
        <w:t>aussi quantifié le rôle de la matrice qui, en étant ductile relativement, amortit les contraintes subies</w:t>
        <w:br/>
        <w:br/>
        <w:t>de l’ordre de 50%, entre deux couches de même direction des renforts. Enfin, nous avons vu dans le</w:t>
        <w:br/>
        <w:br/>
        <w:t>dernier pli où l’épaisseur est double, induisant une densité de fibres moindre, que l’influence de ces</w:t>
        <w:br/>
        <w:br/>
        <w:t xml:space="preserve">dernières s’atténue puisqu’on aboutit à 72% de réduction au lieu de 100%.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