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Croissance et Etude du matériau CuIn0.25Ga0.75Se2 obtenu par Mécanosynthèse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Hamida; Farouk/ Université Badji Mokhtar/ Benabdeslem,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croissance/ mécanosynthèse/  matériau CuIn0.25Ga0.75Se2/ </w:t>
            </w:r>
          </w:p>
        </w:tc>
      </w:tr>
    </w:tbl>
    <w:p>
      <w:pPr>
        <w:pStyle w:val="Heading3"/>
      </w:pPr>
      <w:r>
        <w:t>Résumé :</w:t>
      </w:r>
    </w:p>
    <w:p>
      <w:r>
        <w:t>Les effets du temps de broyage sur la croissance et les propriétés physico-chimiques de</w:t>
        <w:br/>
        <w:br/>
        <w:t>poudres de CuIn0.25Ga0.75Se2 (CIGS) élaborées par broyage haute énergie ont fait l’objet</w:t>
        <w:br/>
        <w:br/>
        <w:t>d’études dans cette thèse. Les poudres ont été prépares au moyen de la technique dite mécanosynthèse (MA) dans un broyeur planétaire sous atmosphère d’argon durant des cycles de</w:t>
        <w:br/>
        <w:br/>
        <w:t>broyage de 1h et 3h. La formation ainsi que l’évolution des propriétés structurales ont été</w:t>
        <w:br/>
        <w:br/>
        <w:t>examinées ; par diffraction des rayons X, la microscopie électronique à balayage (MEB) et</w:t>
        <w:br/>
        <w:br/>
        <w:t>des mesures optiques. Au niveau des clichés des rayons X, les pics (112), (204/220),</w:t>
        <w:br/>
        <w:br/>
        <w:t>(116/312) caractéristiques de la phase chalcopyrite, ont été observés. Une analyse plus fine</w:t>
        <w:br/>
        <w:br/>
        <w:t>des diffractogrammes a révélé que pour des périodes de broyage prolongées, un accroissement</w:t>
        <w:br/>
        <w:br/>
        <w:t>des paramètres du réseau cristallin et une diminution de la taille des cristallites des poudres</w:t>
        <w:br/>
        <w:br/>
        <w:t>de CuIn0.25Ga0.75Se2. L’analyse de la morphologie montre que pour des cycles courts de</w:t>
        <w:br/>
        <w:br/>
        <w:t>broyage, l’effet du soudage l’emporte sur le phénomène de fracture et pour des temps plus</w:t>
        <w:br/>
        <w:br/>
        <w:t>importants, nous avons remarqué une amélioration de la structure. Les mesures optiques ont</w:t>
        <w:br/>
        <w:br/>
        <w:t>fait apparaître une nette augmentation du gap optique qui passe de 1.20 eV à 1.24 eV</w:t>
        <w:br/>
        <w:br/>
        <w:t>respectivement pour 1h et 3h de broyage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