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écologique de deux sites dulcaquicoles de la numidie algérienne ( la garaâ de bourdim et la nechâ d'oum-el agareb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ed; Soumeya/ Université Badji Mokhtar/ Debelair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deux sites dulcaquicoles/ aci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outes les stations étudiées à l'étang de bourdim et à la nechâ d'ou n-el agareb subissent une pollution organique d'origine diverse avec un niveau trophique differ nt. les stations lentiques ont un ph acide, neutre, basique et une minéralisation moyenne à forte (riches en éléments nutritifs) donc eutrophes (bien alimenté). les stations lotiques sont acides , pauvres en nutriments (oligotropt es) et dystrophes (mal alimenté). l'atterrissement est plus marqué dans l'aunaie de bourdim que l'aulnai  d'ourn eil agareb. les deux sites dulçaquicoles possèdent des tourbes à cypéracées, d ins le "lac" bourdim il n'existe pas de tourbière typique , ses stations argileuses et limoneuses a ant pour la plupart un régime hydrique temporaire favorisant l'humification de la matière org inique, l'augmentatior du ph et l'enrichissement du milieu en nutriments ce qui se tradui: par ses tourbes no régénérables selon l'i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