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écologique de deux sites dulcaquicoles de la numidie algérienne ( la garaâ de bourdim et la nechâ d'oum-el agareb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ed; Soumeya/ Université Badji Mokhtar/ Debelair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deux sites dulcaquicoles/ acid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outes les stations étudiées à l'étang de bourdim et à la nechâ d'ou n-el agareb subissent une pollution organique d'origine diverse avec un niveau trophique differ nt. les stations lentiques ont un ph acide, neutre, basique et une minéralisation moyenne à forte (riches en éléments nutritifs) donc eutrophes (bien alimenté). les stations lotiques sont acides , pauvres en nutriments (oligotropt es) et dystrophes (mal alimenté). l'atterrissement est plus marqué dans l'aunaie de bourdim que l'aulnai  d'ourn eil agareb. les deux sites dulçaquicoles possèdent des tourbes à cypéracées, d ins le "lac" bourdim il n'existe pas de tourbière typique , ses stations argileuses et limoneuses a ant pour la plupart un régime hydrique temporaire favorisant l'humification de la matière org inique, l'augmentatior du ph et l'enrichissement du milieu en nutriments ce qui se tradui: par ses tourbes no régénérables selon l'i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