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phytochimique et biotechnologique de traganum nudatum delile plante médicinale de la saoura. recherche de quelques activités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Benhassine; Ikram/ Université Badji Mokhtar/ Ouafi, Saida/ </w:t>
            </w:r>
          </w:p>
        </w:tc>
      </w:tr>
      <w:tr>
        <w:trPr>
          <w:trHeight w:val="567"/>
        </w:trPr>
        <w:tc>
          <w:tcPr>
            <w:tcW w:type="dxa" w:w="3000"/>
          </w:tcPr>
          <w:p>
            <w:r>
              <w:t>Nombre de Pages</w:t>
            </w:r>
          </w:p>
        </w:tc>
        <w:tc>
          <w:tcPr>
            <w:tcW w:type="dxa" w:w="7000"/>
          </w:tcPr>
          <w:p>
            <w:r>
              <w:t>182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polyphénol/ callogénèse/ traganum nudatum delile/ </w:t>
            </w:r>
          </w:p>
        </w:tc>
      </w:tr>
    </w:tbl>
    <w:p>
      <w:pPr>
        <w:pStyle w:val="Heading3"/>
      </w:pPr>
      <w:r>
        <w:t>Résumé :</w:t>
      </w:r>
    </w:p>
    <w:p>
      <w:r>
        <w:t xml:space="preserve">Considérée comme moins agressive que les médicaments habituels, la phytothérapie est  abondamment utilisée avec succès dans le monde surtout où la médecine moderne reste  inaccessible. L’Algérie est connue pour la diversité de sa  égétation grâce aux grandes variations climatiques, regorgeant ainsi d’une flore très riche. Traganum nudatum Delile, plante médicinale de la famille des Chenopodiaceae, est une  espèce du Sahara Algérien utilisée en médecine traditionnelle pour ses vertus phytochimiques peu valorisées et peu étudiées. La démarche entreprise dans cette thèse était d’apporter des </w:t>
        <w:br/>
        <w:br/>
        <w:t xml:space="preserve">éléments scientifiques permettant la validation de certaines propriétés thérapeutiques de cette plante, par l’étude  hytochimique comparative de son métabolome par l’analyse qualitative et quantitative et enfin  par l’étude biologique qui englobant les effets antibactériens, antifongiques et antiparasitaires ainsi que les effets toxiques, cytotoxiques, antalgiques et anti inflammatoires. biotechnologique de son pouvoir callogène, suivie d’une étude phytochimique comparative de son métabolome par l’analyse qualitative et quantitative et enfin  par l’étude biologique qui englobant les effets antibactériens, antifongiques et antiparasitaires ainsi que les effets toxiques, cytotoxiques, antalgiques et anti inflammatoires.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