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l’effet indirect d’un régulateur de synthèse de l’éthylène 1 méthylcyclopropène sur les actions métaboliques biochimiques et de détoxification des rats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Boukerche; Sameh/ Ouali, Kheireddine/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hépatotoxicité/ 1-méthylcyclopropène/ pommes/ </w:t>
            </w:r>
          </w:p>
        </w:tc>
      </w:tr>
    </w:tbl>
    <w:p>
      <w:pPr>
        <w:pStyle w:val="Heading3"/>
      </w:pPr>
      <w:r>
        <w:t>Résumé :</w:t>
      </w:r>
    </w:p>
    <w:p>
      <w:r>
        <w:t>Le 1-méthylcyclopropène (1-MCP) est un régulateur de croissance des plantes (RCP)  émergeant utiliser depuis les années 2000 en horticultures dans le but de minimiser les pertes postes récoltes quantitatifs et qualitatifs des fruits et légumes  rincipalement climactériques tel que mes pommes, les poires, les bananes, et les tomates. Il agit en bloquant l’effet de l’éthylène ; une hormone végétale responsable de la maturation et la sénescence des végétaux . Le 1-MCP retarde ainsi les processus physiologiques végétale tel que le changement de couleur, la fermeté, l’acidité, la fleuraison, la perte de feuilles et d’autres aspect de maturation des plantes. Ce qui retarde considérablement leur pourissage, préserves leurs qualités nutritives et ainsi augmente leur temps de conservation et de stockage de plusieurs  emaines à plusieurs mois d’où son intérêt socioéconomique.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