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intéractions polymère-solvant, polymère-polymère par chromatographie en phase gazeuse inverse mise en évidence de la comptabilté de paires de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Aouadj; Omar/ Unversite Houari Boumediene/ Djadoun;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</w:tbl>
    <w:p>
      <w:pPr>
        <w:pStyle w:val="Heading3"/>
      </w:pPr>
      <w:r>
        <w:t>Résumé :</w:t>
      </w:r>
    </w:p>
    <w:p>
      <w:r>
        <w:t>par une consommation annuelle dépassant 60 millions de tonnes et une tendance àremplacer dans de nombreuses applications des matériaux inorganiques, l'industrie des matériaux poly-mériques occupe trés importonte.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