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l'efficacité demandée de l'épurations des eaux usées à rejeter dans exutoire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Soraya/ Université Badji Mokhtar/ Artamonov, V/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eaux usées/ pollutions des eaux/ </w:t>
            </w:r>
          </w:p>
        </w:tc>
      </w:tr>
    </w:tbl>
    <w:p>
      <w:pPr>
        <w:pStyle w:val="Heading3"/>
      </w:pPr>
      <w:r>
        <w:t>Résumé :</w:t>
      </w:r>
    </w:p>
    <w:p>
      <w:r>
        <w:t xml:space="preserve">La détermination de l'efficacité demandée de l'épuration des eaux usées, dépend des concentrations finales des pollutions des eaux à rejeter dans lexutoire, qui sont les valeurs principales pour évaluer la concentration d'une station d'épuration. </w:t>
        <w:br/>
        <w:br/>
        <w:t>les concentrations finales dépendent de deux caractéristiques principales qui sont présentées par les conditions sanitaires à garder dans une section considérée et par les conditions hydrodynamiques de la dilution et de la transformation possible des pollutions rejetées. les conditions sanitaires sont présentées par les concentrations limites élaborées par les organismes concernés ou par l'organisation mondiale de la santé. les conditions hydrodynamiques s'expriment par une valeur les englobant, qui est le taux de la dilution en tant que valeur physique montrant le débit relatif des eaux d'exutoire, qui prend part à la formation du mélange avec les eaux rejetées.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