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matériaux céramiques de types alumine et zircone par l'indentation vickers et par la courbe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Rihia; Ghani/ Bouras, Seddik/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mécanique/ matériaux céramiques/ énergie de rupture/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mécanique desq materiaux céramiques se fait essentiellement à l'aide de la connaissance de l'énergie de rupture (énergie de surface), et de la ténacité (facteur d'intensité de contrainte critique).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