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AB2C4 semiconducting compounds: crystal growth, intrinsic defects and optical properties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Golea; Mostefa/ Université Of Ottawa/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crystal growth/ AB2C4 semiconducting/ optical properties/ </w:t>
            </w:r>
          </w:p>
        </w:tc>
      </w:tr>
    </w:tbl>
    <w:p>
      <w:pPr>
        <w:pStyle w:val="Heading3"/>
      </w:pPr>
      <w:r>
        <w:t>Résumé :</w:t>
      </w:r>
    </w:p>
    <w:p>
      <w:r>
        <w:t>Analyzing the change in refrative index with isoelectronic substitution, a statistically significant trend is observed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