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non destructive des propriétés Elastiques du bioverre à base de SiO2-Na2O-CaO-P2O5 et des Oxydes de zinc et de titane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Gherib; Mebarka/ Université Badji Mokhtar/ Boumerdas, Fatiha/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biomatériaux/ métalliques/ biocéramiques/ </w:t>
            </w:r>
          </w:p>
        </w:tc>
      </w:tr>
    </w:tbl>
    <w:p>
      <w:pPr>
        <w:pStyle w:val="Heading3"/>
      </w:pPr>
      <w:r>
        <w:t>Résumé :</w:t>
      </w:r>
    </w:p>
    <w:p>
      <w:r>
        <w:t>Dans ce travail, nous avons étudié par contrôle non destructif quelques biomatériaux, dont nous avons déterminé plusieurs paramètres caractérisant ces matériaux: nous avons calculé la vitesse de rayleigh de certains biocéramiques( la concrète, la granite, le silicone, le carbure de tungstène) et de certains biomatériaux métalliques (le titanium,l'acier inoxydable, l'argent et le tantale); nous avons déduit que la détermination de cette vitesse dépend des propriétés élastiques et aussi de la densité volumique du matériau et qu'elle est aussi influencée par les conditions de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