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modélisation et à la simulation de l’essai de traction uniaxiale des métaux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Regaiguia; Badreddine/ Université Badji Mokhtar/ Chahaoui , Oualid /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anisotropie plastique/ critère de hill’48/ critère de barlat 2003/ </w:t>
            </w:r>
          </w:p>
        </w:tc>
      </w:tr>
    </w:tbl>
    <w:p>
      <w:pPr>
        <w:pStyle w:val="Heading3"/>
      </w:pPr>
      <w:r>
        <w:t>Résumé :</w:t>
      </w:r>
    </w:p>
    <w:p>
      <w:r>
        <w:t xml:space="preserve">La prévision des propriétés mécaniques obtenues dans le cadre de l’anisotropie initiale induite par un critère de plasticité est toujours limitée aux hypothèses de la plasticité parfaite. La maîtrise et la compréhension de l’évolution des propriétés mécaniques au cours de l’écrouissage et de la consolidation de la matière jusqu’au début de l’instabilité (striction) plastique d’une tôle laminée de nuance DC04 destinée à l'emboutissage, sur laquelle nous avons travaillé, requiert la détermination de plusieurs paramètres mécaniques permettant l’analyse et l’optimisation de différents procédés de formage ultérieurs.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