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Reponse dynamique des structures enterrees application aux fondations adjacentes encastrees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Badreddine/ Université Badji Mokhtar/ Boumekik, Ahmed/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dynamique/ fondation du sol/ </w:t>
            </w:r>
          </w:p>
        </w:tc>
      </w:tr>
    </w:tbl>
    <w:p>
      <w:pPr>
        <w:pStyle w:val="Heading3"/>
      </w:pPr>
      <w:r>
        <w:t>Résumé :</w:t>
      </w:r>
    </w:p>
    <w:p>
      <w:r>
        <w:t>Etudie l'interaction dynamique entre des fondations carrées rigides en surface et un substrat viscoetastie homogène. les vibrations proviennent d'une fondation placée dans la couche de sol et sont soumises à des pertes harmoniques verticales. la réponse dynamique requise des fondations de surface rigides constitue une solution simple des ondes quantitatives obtenues en prenant en compte les conditions d'interaction. la solution est formulée par la méthode des éléments limites de domaine en conjonction avec la fonction de green pour une strate multicouche et un élément constant quadrilatère pour étudier la dynamique. interrencrion entre fondations adjacentes. cette approche permet l'établissement d'un modèle mathématique nous permettant de déterminer l'impédance ou les fonctions de conformité des fondations adjacentes en fonction des leurs.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