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nanostructurées et leurs propriétés (physiques et mécaniques)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Gherib; Mebarka/ Université Badji Mokhtar/ Otmani, Amara/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microscopie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Les composés nanostructurés Ni50Al50, Ni80Al20 et Ni45Al45Fe10 ont été élaborées par broyage</w:t>
        <w:br/>
        <w:br/>
        <w:t>haute énergie dans un broyeur planétaire P7. Les variations morphologiques, structurales et</w:t>
        <w:br/>
        <w:br/>
        <w:t>microstructurales des poudres broyées ont été suivies par microscopie électronique à</w:t>
        <w:br/>
        <w:br/>
        <w:t>balayage, diffraction des rayons X et spectroscopie Mِssbauer.</w:t>
        <w:br/>
        <w:br/>
        <w:t>Les observations morphologiques montrent l’existence d’une large distribution de la taille et</w:t>
        <w:br/>
        <w:br/>
        <w:t>la forme des particules de poudres Ni-Al. L’affinement Rietveld des diffractogrammes X</w:t>
        <w:br/>
        <w:br/>
        <w:t>révèlent après 4h, la formation d’une solution solide Ni(Al) et la phase CFC dans le mélange</w:t>
        <w:br/>
        <w:br/>
        <w:t>Ni80Al20, cependant, la formation directe de la phase B2-NiAl dans le mélange Ni50Al50 ; la</w:t>
        <w:br/>
        <w:br/>
        <w:t>cinétique de formation de ce dernier est décrite par deux régimes caractérisés par les</w:t>
        <w:br/>
        <w:br/>
        <w:t>coefficients d’Avrami, n1= 1,46 et n2= 0,27. L’addition de 10% du Fe au mélange Ni45Al45, a</w:t>
        <w:br/>
        <w:br/>
        <w:t>une influence remarquable, l’analyse par la diffraction RX montre la coexistence de deux</w:t>
        <w:br/>
        <w:br/>
        <w:t>structures cubiques différentes avec des paramètres structuraux et microstructuraux distinctes.</w:t>
        <w:br/>
        <w:br/>
        <w:t>Ceci est confirmé par la spectroscopie Mِssbauer qui montre l’existence de ces deux</w:t>
        <w:br/>
        <w:br/>
        <w:t>structures avec des paramètres hyperfins différents.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